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tabs>
          <w:tab w:val="clear" w:pos="720"/>
          <w:tab w:val="left" w:pos="5460" w:leader="none"/>
        </w:tabs>
        <w:spacing w:lineRule="auto" w:line="240"/>
        <w:ind w:left="0" w:right="849" w:hanging="0"/>
        <w:jc w:val="right"/>
        <w:rPr/>
      </w:pPr>
      <w:r>
        <w:rPr>
          <w:rFonts w:cs="Times New Roman" w:ascii="Times New Roman" w:hAnsi="Times New Roman"/>
          <w:sz w:val="20"/>
          <w:szCs w:val="20"/>
        </w:rPr>
        <w:t>Приложение №1 к договору №_____ от _______202</w:t>
      </w:r>
      <w:r>
        <w:rPr>
          <w:rFonts w:eastAsia="Andale Sans UI" w:cs="Times New Roman" w:ascii="Times New Roman" w:hAnsi="Times New Roman"/>
          <w:color w:val="00000A"/>
          <w:kern w:val="0"/>
          <w:sz w:val="20"/>
          <w:szCs w:val="20"/>
          <w:lang w:val="zxx" w:eastAsia="zh-CN" w:bidi="zxx"/>
        </w:rPr>
        <w:t>1</w:t>
      </w:r>
      <w:r>
        <w:rPr>
          <w:rFonts w:cs="Times New Roman" w:ascii="Times New Roman" w:hAnsi="Times New Roman"/>
          <w:sz w:val="20"/>
          <w:szCs w:val="20"/>
        </w:rPr>
        <w:t>г.</w:t>
      </w:r>
    </w:p>
    <w:p>
      <w:pPr>
        <w:pStyle w:val="Normal"/>
        <w:spacing w:lineRule="auto" w:line="240"/>
        <w:ind w:left="0" w:right="849" w:hanging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</w:r>
    </w:p>
    <w:tbl>
      <w:tblPr>
        <w:tblW w:w="10063" w:type="dxa"/>
        <w:jc w:val="left"/>
        <w:tblInd w:w="764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379"/>
        <w:gridCol w:w="4683"/>
      </w:tblGrid>
      <w:tr>
        <w:trPr/>
        <w:tc>
          <w:tcPr>
            <w:tcW w:w="5379" w:type="dxa"/>
            <w:tcBorders/>
            <w:shd w:fill="FFFFFF" w:val="clear"/>
          </w:tcPr>
          <w:p>
            <w:pPr>
              <w:pStyle w:val="Style19"/>
              <w:tabs>
                <w:tab w:val="clear" w:pos="720"/>
                <w:tab w:val="left" w:pos="546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Style16"/>
              <w:tabs>
                <w:tab w:val="clear" w:pos="720"/>
                <w:tab w:val="center" w:pos="4677" w:leader="none"/>
              </w:tabs>
              <w:snapToGrid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683" w:type="dxa"/>
            <w:tcBorders/>
            <w:shd w:fill="FFFFFF" w:val="clear"/>
          </w:tcPr>
          <w:p>
            <w:pPr>
              <w:pStyle w:val="Style19"/>
              <w:tabs>
                <w:tab w:val="clear" w:pos="720"/>
                <w:tab w:val="left" w:pos="5460" w:leader="none"/>
              </w:tabs>
              <w:spacing w:lineRule="auto" w:line="240"/>
              <w:rPr/>
            </w:pPr>
            <w:r>
              <w:rPr>
                <w:rFonts w:eastAsia="Tahoma" w:cs="Times New Roman" w:ascii="Times New Roman" w:hAnsi="Times New Roman"/>
                <w:sz w:val="24"/>
                <w:szCs w:val="24"/>
              </w:rPr>
              <w:t xml:space="preserve">УТВЕРЖДАЮ:                                                                                            </w:t>
            </w:r>
            <w:r>
              <w:rPr>
                <w:rFonts w:eastAsia="Arial" w:cs="Times New Roman" w:ascii="Times New Roman" w:hAnsi="Times New Roman"/>
                <w:sz w:val="24"/>
                <w:szCs w:val="24"/>
                <w:lang w:val="ru-RU"/>
              </w:rPr>
              <w:t>Г</w:t>
            </w:r>
            <w:r>
              <w:rPr>
                <w:rFonts w:eastAsia="Arial" w:cs="Times New Roman" w:ascii="Times New Roman" w:hAnsi="Times New Roman"/>
                <w:sz w:val="24"/>
                <w:szCs w:val="24"/>
              </w:rPr>
              <w:t>лавн</w:t>
            </w:r>
            <w:r>
              <w:rPr>
                <w:rFonts w:eastAsia="Arial" w:cs="Times New Roman" w:ascii="Times New Roman" w:hAnsi="Times New Roman"/>
                <w:sz w:val="24"/>
                <w:szCs w:val="24"/>
                <w:lang w:val="ru-RU"/>
              </w:rPr>
              <w:t>ый</w:t>
            </w:r>
            <w:r>
              <w:rPr>
                <w:rFonts w:eastAsia="Arial" w:cs="Times New Roman" w:ascii="Times New Roman" w:hAnsi="Times New Roman"/>
                <w:sz w:val="24"/>
                <w:szCs w:val="24"/>
              </w:rPr>
              <w:t xml:space="preserve"> управляющ</w:t>
            </w:r>
            <w:r>
              <w:rPr>
                <w:rFonts w:eastAsia="Arial" w:cs="Times New Roman" w:ascii="Times New Roman" w:hAnsi="Times New Roman"/>
                <w:sz w:val="24"/>
                <w:szCs w:val="24"/>
                <w:lang w:val="ru-RU"/>
              </w:rPr>
              <w:t>ий</w:t>
            </w:r>
            <w:r>
              <w:rPr>
                <w:rFonts w:eastAsia="Arial" w:cs="Times New Roman" w:ascii="Times New Roman" w:hAnsi="Times New Roman"/>
                <w:sz w:val="24"/>
                <w:szCs w:val="24"/>
              </w:rPr>
              <w:t xml:space="preserve"> директор                                                  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Style16"/>
              <w:tabs>
                <w:tab w:val="clear" w:pos="720"/>
                <w:tab w:val="center" w:pos="4677" w:leader="none"/>
              </w:tabs>
              <w:spacing w:lineRule="auto" w:line="240" w:before="0" w:after="200"/>
              <w:rPr/>
            </w:pPr>
            <w:r>
              <w:rPr>
                <w:rFonts w:eastAsia="Tahoma"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________________________</w:t>
            </w:r>
            <w:r>
              <w:rPr>
                <w:rFonts w:cs="Times New Roman"/>
                <w:sz w:val="24"/>
                <w:szCs w:val="24"/>
                <w:lang w:val="ru-RU"/>
              </w:rPr>
              <w:t>Бирюков В.В.</w:t>
            </w:r>
            <w:r>
              <w:rPr>
                <w:rFonts w:eastAsia="Tahoma" w:cs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  <w:r>
              <w:rPr>
                <w:rFonts w:cs="Times New Roman"/>
                <w:sz w:val="24"/>
                <w:szCs w:val="24"/>
              </w:rPr>
              <w:t xml:space="preserve">«______» _____________________ </w:t>
            </w:r>
            <w:r>
              <w:rPr>
                <w:rFonts w:cs="Times New Roman"/>
                <w:sz w:val="24"/>
                <w:szCs w:val="24"/>
                <w:lang w:val="en-US"/>
              </w:rPr>
              <w:t>202</w:t>
            </w:r>
            <w:r>
              <w:rPr>
                <w:rFonts w:eastAsia="Andale Sans UI" w:cs="Times New Roman"/>
                <w:color w:val="00000A"/>
                <w:kern w:val="0"/>
                <w:sz w:val="24"/>
                <w:szCs w:val="24"/>
                <w:lang w:val="en-US" w:eastAsia="zxx" w:bidi="zxx"/>
              </w:rPr>
              <w:t>1</w:t>
            </w:r>
            <w:r>
              <w:rPr>
                <w:rFonts w:cs="Times New Roman"/>
                <w:sz w:val="24"/>
                <w:szCs w:val="24"/>
                <w:lang w:val="en-US"/>
              </w:rPr>
              <w:t>г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</w:tbl>
    <w:p>
      <w:pPr>
        <w:pStyle w:val="Normal"/>
        <w:spacing w:lineRule="auto" w:line="24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/>
        <w:jc w:val="center"/>
        <w:rPr/>
      </w:pPr>
      <w:r>
        <w:rPr>
          <w:rFonts w:cs="Times New Roman"/>
          <w:sz w:val="24"/>
          <w:szCs w:val="24"/>
        </w:rPr>
        <w:t xml:space="preserve">Техническое задание № ПКС </w:t>
      </w:r>
      <w:r>
        <w:rPr>
          <w:rFonts w:eastAsia="Andale Sans UI" w:cs="Times New Roman"/>
          <w:color w:val="00000A"/>
          <w:kern w:val="0"/>
          <w:sz w:val="24"/>
          <w:szCs w:val="24"/>
          <w:lang w:val="zxx" w:eastAsia="zxx" w:bidi="zxx"/>
        </w:rPr>
        <w:t>2-06/21</w:t>
      </w:r>
    </w:p>
    <w:p>
      <w:pPr>
        <w:pStyle w:val="Normal"/>
        <w:spacing w:lineRule="auto" w:line="240"/>
        <w:ind w:left="0" w:right="0" w:hanging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на  </w:t>
      </w:r>
      <w:r>
        <w:rPr>
          <w:rFonts w:cs="Times New Roman"/>
          <w:b w:val="false"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работы по </w:t>
      </w:r>
      <w:r>
        <w:rPr>
          <w:rFonts w:eastAsia="SimSun;宋体" w:cs="Times New Roman"/>
          <w:b w:val="false"/>
          <w:bCs/>
          <w:i w:val="false"/>
          <w:strike w:val="false"/>
          <w:dstrike w:val="false"/>
          <w:outline w:val="false"/>
          <w:shadow w:val="false"/>
          <w:color w:val="00000A"/>
          <w:sz w:val="24"/>
          <w:szCs w:val="24"/>
          <w:u w:val="none"/>
          <w:em w:val="none"/>
          <w:lang w:val="ru-RU" w:eastAsia="zh-CN" w:bidi="ar-SA"/>
        </w:rPr>
        <w:t>монтажу общедомовых узлов учета холодного водоснабжения</w:t>
      </w:r>
    </w:p>
    <w:p>
      <w:pPr>
        <w:pStyle w:val="Normal"/>
        <w:spacing w:lineRule="auto" w:line="240"/>
        <w:ind w:left="0" w:right="0" w:hanging="142"/>
        <w:jc w:val="center"/>
        <w:rPr>
          <w:rFonts w:ascii="Times New Roman" w:hAnsi="Times New Roman" w:eastAsia="SimSun;宋体" w:cs="Times New Roman"/>
          <w:b w:val="false"/>
          <w:b w:val="false"/>
          <w:bCs/>
          <w:i w:val="false"/>
          <w:i w:val="false"/>
          <w:strike w:val="false"/>
          <w:dstrike w:val="false"/>
          <w:outline w:val="false"/>
          <w:shadow w:val="false"/>
          <w:color w:val="00000A"/>
          <w:sz w:val="24"/>
          <w:szCs w:val="24"/>
          <w:u w:val="none"/>
          <w:em w:val="none"/>
          <w:lang w:val="ru-RU" w:eastAsia="zh-CN" w:bidi="ar-SA"/>
        </w:rPr>
      </w:pPr>
      <w:r>
        <w:rPr>
          <w:rFonts w:eastAsia="SimSun;宋体" w:cs="Times New Roman"/>
          <w:b w:val="false"/>
          <w:bCs/>
          <w:i w:val="false"/>
          <w:strike w:val="false"/>
          <w:dstrike w:val="false"/>
          <w:outline w:val="false"/>
          <w:shadow w:val="false"/>
          <w:color w:val="00000A"/>
          <w:sz w:val="24"/>
          <w:szCs w:val="24"/>
          <w:u w:val="none"/>
          <w:em w:val="none"/>
          <w:lang w:val="ru-RU" w:eastAsia="zh-CN" w:bidi="ar-SA"/>
        </w:rPr>
      </w:r>
    </w:p>
    <w:tbl>
      <w:tblPr>
        <w:tblW w:w="10050" w:type="dxa"/>
        <w:jc w:val="left"/>
        <w:tblInd w:w="768" w:type="dxa"/>
        <w:tblCellMar>
          <w:top w:w="55" w:type="dxa"/>
          <w:left w:w="51" w:type="dxa"/>
          <w:bottom w:w="55" w:type="dxa"/>
          <w:right w:w="55" w:type="dxa"/>
        </w:tblCellMar>
      </w:tblPr>
      <w:tblGrid>
        <w:gridCol w:w="446"/>
        <w:gridCol w:w="4136"/>
        <w:gridCol w:w="5468"/>
      </w:tblGrid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eastAsia="Tahoma" w:cs="Times New Roman"/>
                <w:b/>
                <w:bCs/>
                <w:sz w:val="24"/>
                <w:szCs w:val="24"/>
                <w:lang w:val="ru-RU"/>
              </w:rPr>
              <w:t xml:space="preserve">№ </w:t>
            </w:r>
            <w:r>
              <w:rPr>
                <w:rFonts w:cs="Times New Roman"/>
                <w:b/>
                <w:bCs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Содержание основных данных и требований</w:t>
            </w:r>
          </w:p>
        </w:tc>
      </w:tr>
      <w:tr>
        <w:trPr>
          <w:trHeight w:val="357" w:hRule="atLeast"/>
        </w:trPr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Почтовый адрес: 443056 г.Самара. ул.Луначарского д.56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ИНН 6312110828 КПП 631601001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ОГРН 1116312008340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Р\С 40702810903370000034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Ф-л Банка ГПБ (АО) «ПОВОЛЖСКИЙ» г. Самара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К/с 30101810000000000917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БИК 043601917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Главный управляющий директор Бирюков Владимир Вячеславович, действует на основании доверенности № 2</w:t>
            </w:r>
            <w:r>
              <w:rPr>
                <w:rFonts w:eastAsia="Andale Sans UI" w:cs="Times New Roman"/>
                <w:color w:val="00000A"/>
                <w:kern w:val="0"/>
                <w:sz w:val="24"/>
                <w:szCs w:val="24"/>
                <w:lang w:val="zxx" w:eastAsia="zxx" w:bidi="zxx"/>
              </w:rPr>
              <w:t>0</w:t>
            </w:r>
            <w:r>
              <w:rPr>
                <w:rFonts w:cs="Times New Roman"/>
                <w:sz w:val="24"/>
                <w:szCs w:val="24"/>
              </w:rPr>
              <w:t xml:space="preserve"> от </w:t>
            </w:r>
            <w:r>
              <w:rPr>
                <w:rFonts w:eastAsia="Andale Sans UI" w:cs="Times New Roman"/>
                <w:color w:val="00000A"/>
                <w:kern w:val="0"/>
                <w:sz w:val="24"/>
                <w:szCs w:val="24"/>
                <w:lang w:val="zxx" w:eastAsia="zxx" w:bidi="zxx"/>
              </w:rPr>
              <w:t>20</w:t>
            </w:r>
            <w:r>
              <w:rPr>
                <w:rFonts w:cs="Times New Roman"/>
                <w:sz w:val="24"/>
                <w:szCs w:val="24"/>
              </w:rPr>
              <w:t>.02.20</w:t>
            </w:r>
            <w:r>
              <w:rPr>
                <w:rFonts w:eastAsia="Andale Sans UI" w:cs="Times New Roman"/>
                <w:color w:val="00000A"/>
                <w:kern w:val="0"/>
                <w:sz w:val="24"/>
                <w:szCs w:val="24"/>
                <w:lang w:val="zxx" w:eastAsia="zxx" w:bidi="zxx"/>
              </w:rPr>
              <w:t>21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т.+7(846)336-14-02, факс +7(846)336-89-05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  <w:lang w:val="en-US"/>
              </w:rPr>
              <w:t>-mail:</w:t>
            </w:r>
            <w:r>
              <w:rPr>
                <w:rFonts w:cs="Times New Roman"/>
                <w:sz w:val="24"/>
                <w:szCs w:val="24"/>
                <w:shd w:fill="FFFFFF" w:val="clear"/>
                <w:lang w:val="en-US"/>
              </w:rPr>
              <w:t xml:space="preserve"> info@samcomsys</w:t>
            </w:r>
            <w:r>
              <w:rPr>
                <w:rFonts w:cs="Times New Roman"/>
                <w:sz w:val="24"/>
                <w:szCs w:val="24"/>
                <w:u w:val="single"/>
                <w:shd w:fill="FFFFFF" w:val="clear"/>
                <w:lang w:val="en-US"/>
              </w:rPr>
              <w:t>.ru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Основание для проведения работ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cs="Times New Roman"/>
                <w:sz w:val="24"/>
                <w:szCs w:val="24"/>
                <w:lang w:val="ru-RU"/>
              </w:rPr>
              <w:t>Федеральный закон от 23.11.2009г. №261-ФЗ «Об энергосбережении и о повышении энергетической эффективности»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Наименование и местоположение объектов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Мориса Тореза, 6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Мориса Тореза, 40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Аэродромная, 8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Арцыбушевская, 3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Мориса Тореза, 47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Мяги, 11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г. </w:t>
            </w:r>
            <w:r>
              <w:rPr>
                <w:rFonts w:cs="Times New Roman"/>
                <w:sz w:val="24"/>
                <w:szCs w:val="24"/>
              </w:rPr>
              <w:t xml:space="preserve">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Революционная, 144а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Волгина, 117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Волгина, 119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Волгина, 106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Партизанская, 98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Аэродромная, 35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  <w:lang w:val="ru-RU"/>
              </w:rPr>
              <w:t>г.</w:t>
            </w:r>
            <w:r>
              <w:rPr>
                <w:rFonts w:cs="Times New Roman"/>
                <w:sz w:val="24"/>
                <w:szCs w:val="24"/>
              </w:rPr>
              <w:t xml:space="preserve">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Аэродромная, 39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- г. Самара,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ул. Волгина, 102;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Волгина, 120;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Аэродромная, 29;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Аэродромная, 31;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Аэродромная,13а;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Волгина, 95;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Волгина, 108;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Волгина, 116;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Гагарина, 49;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Гагарина, 35;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Аэродромная, 18;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>- г. Самара, ул. Аэродромная, 22;</w:t>
            </w:r>
          </w:p>
          <w:p>
            <w:pPr>
              <w:pStyle w:val="Normal"/>
              <w:spacing w:lineRule="auto" w:line="240"/>
              <w:ind w:hanging="142"/>
              <w:rPr/>
            </w:pP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 w:ascii="Tms Rmn" w:hAnsi="Tms Rmn"/>
                <w:color w:val="000000"/>
                <w:sz w:val="24"/>
                <w:szCs w:val="24"/>
              </w:rPr>
              <w:t xml:space="preserve">- г. Самара, ул. Аэродромная, 20. 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Бюджет </w:t>
            </w:r>
            <w:r>
              <w:rPr>
                <w:rFonts w:cs="Times New Roman"/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Наименование и объём работ (оказания услуг)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Установка</w:t>
            </w:r>
            <w:r>
              <w:rPr>
                <w:rFonts w:cs="Times New Roman"/>
                <w:sz w:val="24"/>
                <w:szCs w:val="24"/>
              </w:rPr>
              <w:t xml:space="preserve"> общедомовых приборов учета воды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 многоквартирных жилых домах</w:t>
            </w:r>
            <w:r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Состав работ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134" w:leader="none"/>
              </w:tabs>
              <w:spacing w:lineRule="auto" w:line="240"/>
              <w:rPr/>
            </w:pPr>
            <w:r>
              <w:rPr/>
              <w:t xml:space="preserve">1. Установка (монтаж) общедомовых  приборов учета воды из материалов </w:t>
            </w:r>
            <w:r>
              <w:rPr>
                <w:rFonts w:eastAsia="Andale Sans UI" w:cs="Tahoma"/>
                <w:color w:val="00000A"/>
                <w:kern w:val="0"/>
                <w:sz w:val="24"/>
                <w:szCs w:val="24"/>
                <w:lang w:val="ru-RU" w:eastAsia="zxx" w:bidi="zxx"/>
              </w:rPr>
              <w:t>Подрядчика</w:t>
            </w:r>
            <w:r>
              <w:rPr/>
              <w:t>.</w:t>
            </w:r>
          </w:p>
          <w:p>
            <w:pPr>
              <w:pStyle w:val="Normal"/>
              <w:tabs>
                <w:tab w:val="clear" w:pos="720"/>
                <w:tab w:val="left" w:pos="1134" w:leader="none"/>
              </w:tabs>
              <w:spacing w:lineRule="auto" w:line="240"/>
              <w:rPr/>
            </w:pPr>
            <w:r>
              <w:rPr/>
              <w:t>2. Пуско-наладочные работы и ввод узла учета в эксплуатацию.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cs="Times New Roman"/>
                <w:sz w:val="24"/>
                <w:szCs w:val="24"/>
                <w:lang w:val="ru-RU"/>
              </w:rPr>
              <w:t>согласованной</w:t>
            </w:r>
            <w:r>
              <w:rPr>
                <w:rFonts w:cs="Times New Roman"/>
                <w:sz w:val="24"/>
                <w:szCs w:val="24"/>
              </w:rPr>
              <w:t xml:space="preserve"> проектной документацией. 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Условия выполнения работ (оказания услуг)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Все работы выполнить согласно действующему законодательству РФ, нормативно-правовым документам,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СП, </w:t>
            </w:r>
            <w:r>
              <w:rPr>
                <w:rFonts w:cs="Times New Roman"/>
                <w:sz w:val="24"/>
                <w:szCs w:val="24"/>
              </w:rPr>
              <w:t>СНиП, настоящему техническому заданию.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30</w:t>
            </w:r>
            <w:r>
              <w:rPr>
                <w:rFonts w:cs="Times New Roman"/>
                <w:sz w:val="24"/>
                <w:szCs w:val="24"/>
              </w:rPr>
              <w:t xml:space="preserve"> (</w:t>
            </w:r>
            <w:r>
              <w:rPr>
                <w:rFonts w:cs="Times New Roman"/>
                <w:sz w:val="24"/>
                <w:szCs w:val="24"/>
                <w:lang w:val="ru-RU"/>
              </w:rPr>
              <w:t>Тридцать</w:t>
            </w:r>
            <w:r>
              <w:rPr>
                <w:rFonts w:cs="Times New Roman"/>
                <w:sz w:val="24"/>
                <w:szCs w:val="24"/>
              </w:rPr>
              <w:t xml:space="preserve">) 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рабочих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дней с момента 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подписания договора</w:t>
            </w:r>
            <w:r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Исходные данные для выполнения работ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Проектная документация</w:t>
            </w:r>
            <w:r>
              <w:rPr>
                <w:rFonts w:cs="Times New Roman"/>
                <w:sz w:val="24"/>
                <w:szCs w:val="24"/>
              </w:rPr>
              <w:t xml:space="preserve">  предоставля</w:t>
            </w:r>
            <w:r>
              <w:rPr>
                <w:rFonts w:cs="Times New Roman"/>
                <w:sz w:val="24"/>
                <w:szCs w:val="24"/>
                <w:lang w:val="ru-RU"/>
              </w:rPr>
              <w:t>е</w:t>
            </w:r>
            <w:r>
              <w:rPr>
                <w:rFonts w:cs="Times New Roman"/>
                <w:sz w:val="24"/>
                <w:szCs w:val="24"/>
              </w:rPr>
              <w:t>тся Заказчиком.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Сбор недостающих исходных данных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Подрядчик </w:t>
            </w:r>
            <w:r>
              <w:rPr>
                <w:rFonts w:cs="Times New Roman"/>
                <w:sz w:val="24"/>
                <w:szCs w:val="24"/>
              </w:rPr>
              <w:t>осуществляется собственными силами и средствами</w:t>
            </w:r>
            <w:r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Назначение узлов учета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Коммерческий учет потребления холодной воды в соответствии с Федеральным законом от 23.11.2009 N 261-ФЗ (ред. от 29.07.2017) "Об энергосбережении», Постановлением Правительства Российской Федерации от 4 сентября 2013 г. N 776 </w:t>
            </w:r>
            <w:r>
              <w:rPr>
                <w:rFonts w:cs="Times New Roman"/>
                <w:bCs/>
                <w:sz w:val="24"/>
                <w:szCs w:val="24"/>
              </w:rPr>
              <w:t xml:space="preserve">"Об утверждении Правил организации коммерческого учета воды, сточных вод", СП 30.13330.2016 «Внутренний водопровод и канализация зданий». 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и рекомендации к прибору учета: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/>
              <w:t>В соответствии с согласованной проектной документацией.</w:t>
            </w:r>
          </w:p>
          <w:p>
            <w:pPr>
              <w:pStyle w:val="Normal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Требования к используемым материалам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Все используемые материалы должны быть сертифицированы и разрешены к применению на территории Российской Федерации, соответствовать требованиям, изложенным в техническом задании, а также государственным стандартам и техническим условиям;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Используемые материалы должны иметь предусмотренные действующими нормативами сертификаты, которые Подрядчик передает Заказчику в процессе выполнения работ, а именно: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1. сертификаты соответствия ГОСТ;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2. сертификаты пожарной безопасности;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3. Иные необходимые сертификаты.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Материалы и изделия должны быть соответствующих видов, обозначенных в технической части документации. Все поставляемые для монтажа материалы, оборудование и конструкции должны быть новыми, не использованными ранее, иметь соответствующие сертификаты, технические паспорта и другие документы, удостоверяющие их качество. Все материалы и оборудование согласовываются с Заказчиком до начала производства работ.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Все используемые при проведении работ материалы и оборудование должны быть экологически безопасными, качественными, соответствовать требованиям безопасности,  ГОСТам и другим стандартам на соответствующий товар и иметь необходимые паспорта заводов-изготовителей, сертификаты соответствия, если их наличие предусмотрено действующим законодательством.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Материалы и оборудование должны быть разрешены к применению на территории Российской Федерации, иметь документ изготовителя, содержащий все существенные технические характеристики, иметь соответствующие сертификаты, технические паспорта, а также другие документы, удостоверяющие их качество.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bCs/>
                <w:sz w:val="24"/>
                <w:szCs w:val="24"/>
              </w:rPr>
              <w:t>Требования к монтажу и сдаче в эксплуатацию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Монтаж узлов учета должен осуществляться специализированной организацией, имеющей право на проведение данного вида работ.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Монтаж осуществляется согласно утвержденной проектной документации, согласно требований Постановления Правительства Российской Федерации от 4 сентября 2013 г. N 776 </w:t>
            </w:r>
            <w:r>
              <w:rPr>
                <w:rFonts w:cs="Times New Roman"/>
                <w:bCs/>
                <w:sz w:val="24"/>
                <w:szCs w:val="24"/>
              </w:rPr>
              <w:t>"Об утверждении Правил организации коммерческого учета воды, сточных вод"</w:t>
            </w:r>
            <w:r>
              <w:rPr>
                <w:rFonts w:cs="Times New Roman"/>
                <w:sz w:val="24"/>
                <w:szCs w:val="24"/>
              </w:rPr>
              <w:t>, инструкциям завода-изготовителя применяемого оборудования и другим действующим нормам и правилам.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По завершении монтажных и пуско-наладочных работ узел учета сдается в эксплуатацию в соответствии с Постановлением Правительства Российской Федерации от 4 сентября 2013 г. N 776 </w:t>
            </w:r>
            <w:r>
              <w:rPr>
                <w:rFonts w:cs="Times New Roman"/>
                <w:bCs/>
                <w:sz w:val="24"/>
                <w:szCs w:val="24"/>
              </w:rPr>
              <w:t>"Об утверждении Правил организации коммерческого учета воды, сточных вод",</w:t>
            </w:r>
            <w:r>
              <w:rPr>
                <w:rFonts w:cs="Times New Roman"/>
                <w:sz w:val="24"/>
                <w:szCs w:val="24"/>
              </w:rPr>
              <w:t xml:space="preserve"> с оформлением акта допуска.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 </w:t>
            </w:r>
            <w:r>
              <w:rPr>
                <w:rFonts w:cs="Times New Roman"/>
                <w:sz w:val="24"/>
                <w:szCs w:val="24"/>
              </w:rPr>
              <w:t>Подрядчик должен выполнить работы в полном соответствии с согласованной Заказчиком Проектной документацией, с соблюдением технологии, качества и безопасности выполняемых работ, используемых материалов и оборудования, с соблюдением действующих нормам и правил проведения соответствующих работ.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Подрядчик обязан при осуществлении работ соблюдать требования законов и иных правовых актов об охране окружающей среды и безопасности строительных работ.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Подрядчик несет ответственность за нарушение указанных требований.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Подрядчик не вправе использовать в ходе осуществления работ материалы и оборудование, предоставленные заказчиком, или выполнять его указания, если это может привести к нарушению обязательных для сторон требований строительных норм, согласованной проектно-технической документации, требований к охране окружающей среды и безопасности строительных работ.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Результат работ должен обеспечивать безопасную для жизни и здоровья людей эксплуатацию объекта.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 </w:t>
            </w:r>
            <w:r>
              <w:rPr>
                <w:rFonts w:cs="Times New Roman"/>
                <w:sz w:val="24"/>
                <w:szCs w:val="24"/>
              </w:rPr>
              <w:t>В ходе работ должны быть обеспечены необходимые мероприятия по технике безопасности, охране окружающей среды, по пожарной безопасности. Ответственность за соблюдение своими сотрудниками правил пожарной безопасности, техники безопасности, охраны труда и санитарно-гигиенического режима в ремонтируемых помещениях возлагается на Подрядчика.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 </w:t>
            </w:r>
            <w:r>
              <w:rPr>
                <w:rFonts w:cs="Times New Roman"/>
                <w:sz w:val="24"/>
                <w:szCs w:val="24"/>
              </w:rPr>
              <w:t>До начала выполнения работ Подрядчик назначает ответственного за организацию производства работ, их качество, соблюдение правил и требований технических регламентов, а также ответственных по объекту за пожарную безопасность и технику безопасности и до начала выполнения работ обязан представить Заказчику копии приказов о назначении ответственных лиц по объекту(ам).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Подрядчик производит работы по предварительному согласованию с Заказчиком, а также соответствующими представителями эксплуатационных служб других заинтересованных организаций. Работы должны производиться по проекту производства работ (далее ППР), разработанному подрядной организацией, в строгом соответствии с порядком и графиком производства работ, указанными в нём, и в соответствии с требованиями договора. ППР должен быть согласован со всеми заинтересованными организациями.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Подрядчик в процессе выполнения работ обязан строго соблюдать технологию и последовательность выполнения работ.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Подрядчик обеспечивает содержание и уборку места проведения работ и прилегающей территории.     Подрядчик обязан освободить от оборудования, материалов, временных сооружений, мусора место проведения работ немедленно после их завершения и передать объект чистым.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По окончании работ Подрядчик представляет Заказчику исполнительную документацию, оформленную в полном соответствии с требованием законодательства РФ и подписанную всеми ответственными исполнителями и представителями.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Требования к гарантиям качества выполняемых работ (оказанных услуг)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Гарантийный срок на выполненные работы по настоящему Договору составляет - 5 (пять) лет с даты подписания акта выполненных работ.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Гарантийный срок на смонтированное оборудование - в соответствии с гарантийными обязательствами заводов-изготовителей соответствующего оборудования.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Наличие необходимых документов по результатам выполненных работ (оказанных услуг)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/>
              <w:t xml:space="preserve">После завершения выполнения работ </w:t>
            </w:r>
            <w:r>
              <w:rPr>
                <w:rFonts w:eastAsia="Andale Sans UI" w:cs="Tahoma"/>
                <w:color w:val="00000A"/>
                <w:kern w:val="0"/>
                <w:sz w:val="24"/>
                <w:szCs w:val="24"/>
                <w:lang w:val="ru-RU" w:eastAsia="zxx" w:bidi="zxx"/>
              </w:rPr>
              <w:t>Подрядчик</w:t>
            </w:r>
            <w:r>
              <w:rPr/>
              <w:t xml:space="preserve"> обязан передать Заказчику пакет исполнительной документации в составе:</w:t>
              <w:tab/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/>
              <w:rPr/>
            </w:pPr>
            <w:r>
              <w:rPr/>
              <w:t>исполнительные схемы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/>
              <w:rPr/>
            </w:pPr>
            <w:r>
              <w:rPr/>
              <w:t>акты допуска в эксплуатацию измерительного оборудования;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/>
              <w:rPr/>
            </w:pPr>
            <w:r>
              <w:rPr/>
              <w:t xml:space="preserve">паспорта качества изготовителя на применяемые материалы с указанием технических характеристик, сертификаты соответствия, сертификаты пожарной безопасности; 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/>
              <w:rPr/>
            </w:pPr>
            <w:r>
              <w:rPr/>
              <w:t>паспорта и сертификаты качества на смонтированное оборудование;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/>
              <w:rPr/>
            </w:pPr>
            <w:r>
              <w:rPr/>
              <w:t>документы, подтверждающие поверку средств измерений;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/>
              <w:rPr/>
            </w:pPr>
            <w:r>
              <w:rPr/>
              <w:t>акт приемки выполненных работ;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/>
              <w:rPr/>
            </w:pPr>
            <w:r>
              <w:rPr/>
              <w:t>документ, в котором указаны гарантийные обязательства;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/>
              <w:rPr/>
            </w:pPr>
            <w:r>
              <w:rPr/>
              <w:t>иные документы в соответствии с законодательством РФ.</w:t>
            </w:r>
          </w:p>
        </w:tc>
      </w:tr>
      <w:tr>
        <w:trPr/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>Требования по количеству экземпляров исполнительной документации передаваемой заказчику</w:t>
            </w:r>
          </w:p>
        </w:tc>
        <w:tc>
          <w:tcPr>
            <w:tcW w:w="5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spacing w:lineRule="auto" w:line="240"/>
              <w:rPr/>
            </w:pPr>
            <w:r>
              <w:rPr>
                <w:rFonts w:cs="Times New Roman"/>
                <w:sz w:val="24"/>
                <w:szCs w:val="24"/>
              </w:rPr>
              <w:t xml:space="preserve">Исполнительная документация передастся </w:t>
            </w:r>
            <w:r>
              <w:rPr>
                <w:rFonts w:eastAsia="Andale Sans UI" w:cs="Times New Roman"/>
                <w:color w:val="00000A"/>
                <w:kern w:val="0"/>
                <w:sz w:val="24"/>
                <w:szCs w:val="24"/>
                <w:lang w:val="ru-RU" w:eastAsia="zxx" w:bidi="zxx"/>
              </w:rPr>
              <w:t>Подрядчиком</w:t>
            </w:r>
            <w:r>
              <w:rPr>
                <w:rFonts w:cs="Times New Roman"/>
                <w:sz w:val="24"/>
                <w:szCs w:val="24"/>
              </w:rPr>
              <w:t xml:space="preserve"> Заказчику в 2 (двух) экземплярах на бумажном носителе и в 1 (одном) экземпляре на электронном носителе. </w:t>
            </w:r>
          </w:p>
          <w:p>
            <w:pPr>
              <w:pStyle w:val="Normal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left="0" w:right="0" w:hanging="142"/>
        <w:jc w:val="center"/>
        <w:rPr/>
      </w:pPr>
      <w:r>
        <w:rPr/>
      </w:r>
    </w:p>
    <w:p>
      <w:pPr>
        <w:pStyle w:val="Normal"/>
        <w:spacing w:lineRule="auto" w:line="240"/>
        <w:ind w:left="0" w:right="0" w:hanging="142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widowControl w:val="false"/>
        <w:overflowPunct w:val="false"/>
        <w:bidi w:val="0"/>
        <w:spacing w:lineRule="auto" w:line="240"/>
        <w:ind w:left="567" w:right="0" w:hanging="102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widowControl w:val="false"/>
        <w:overflowPunct w:val="false"/>
        <w:bidi w:val="0"/>
        <w:spacing w:lineRule="auto" w:line="240"/>
        <w:ind w:left="567" w:right="0" w:hanging="1020"/>
        <w:jc w:val="center"/>
        <w:rPr/>
      </w:pPr>
      <w:bookmarkStart w:id="0" w:name="__DdeLink__766_3997537641"/>
      <w:r>
        <w:rPr>
          <w:rFonts w:cs="Times New Roman"/>
          <w:sz w:val="24"/>
          <w:szCs w:val="24"/>
        </w:rPr>
        <w:t xml:space="preserve">Руководитель </w:t>
      </w:r>
      <w:r>
        <w:rPr>
          <w:rFonts w:cs="Times New Roman"/>
          <w:sz w:val="24"/>
          <w:szCs w:val="24"/>
          <w:lang w:val="ru-RU"/>
        </w:rPr>
        <w:t>ПКС</w:t>
      </w:r>
      <w:r>
        <w:rPr>
          <w:rFonts w:cs="Times New Roman"/>
          <w:sz w:val="24"/>
          <w:szCs w:val="24"/>
        </w:rPr>
        <w:t xml:space="preserve">                           </w:t>
      </w:r>
      <w:r>
        <w:rPr>
          <w:rFonts w:cs="Times New Roman"/>
          <w:sz w:val="24"/>
          <w:szCs w:val="24"/>
          <w:lang w:val="ru-RU"/>
        </w:rPr>
        <w:t xml:space="preserve">                             </w:t>
      </w:r>
      <w:bookmarkStart w:id="1" w:name="_GoBack"/>
      <w:bookmarkEnd w:id="1"/>
      <w:r>
        <w:rPr>
          <w:rFonts w:cs="Times New Roman"/>
          <w:sz w:val="24"/>
          <w:szCs w:val="24"/>
          <w:lang w:val="ru-RU"/>
        </w:rPr>
        <w:t xml:space="preserve">                                      </w:t>
      </w:r>
      <w:r>
        <w:rPr>
          <w:rFonts w:cs="Times New Roman"/>
          <w:sz w:val="24"/>
          <w:szCs w:val="24"/>
        </w:rPr>
        <w:t xml:space="preserve">       А.В. Маршалов</w:t>
      </w:r>
      <w:bookmarkEnd w:id="0"/>
    </w:p>
    <w:sectPr>
      <w:type w:val="nextPage"/>
      <w:pgSz w:w="11906" w:h="16838"/>
      <w:pgMar w:left="425" w:right="0" w:header="0" w:top="425" w:footer="0" w:bottom="766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ms Rmn">
    <w:altName w:val="Times New Roman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0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false"/>
      <w:bidi w:val="0"/>
      <w:jc w:val="left"/>
    </w:pPr>
    <w:rPr>
      <w:rFonts w:ascii="Times New Roman" w:hAnsi="Times New Roman" w:eastAsia="Andale Sans UI" w:cs="Tahoma"/>
      <w:color w:val="00000A"/>
      <w:kern w:val="0"/>
      <w:sz w:val="24"/>
      <w:szCs w:val="24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15">
    <w:name w:val="Body Text"/>
    <w:basedOn w:val="Normal"/>
    <w:pPr>
      <w:spacing w:before="0" w:after="120"/>
    </w:pPr>
    <w:rPr/>
  </w:style>
  <w:style w:type="paragraph" w:styleId="Style16">
    <w:name w:val="List"/>
    <w:basedOn w:val="Style15"/>
    <w:pPr/>
    <w:rPr>
      <w:rFonts w:cs="Tahoma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Tahoma"/>
    </w:rPr>
  </w:style>
  <w:style w:type="paragraph" w:styleId="Style19">
    <w:name w:val="Содержимое таблицы"/>
    <w:basedOn w:val="Normal"/>
    <w:qFormat/>
    <w:pPr>
      <w:suppressLineNumbers/>
      <w:suppressAutoHyphens w:val="true"/>
      <w:spacing w:lineRule="auto" w:line="276" w:before="0" w:after="200"/>
    </w:pPr>
    <w:rPr>
      <w:rFonts w:ascii="Calibri" w:hAnsi="Calibri" w:cs="Calibri"/>
      <w:sz w:val="22"/>
      <w:szCs w:val="22"/>
      <w:lang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54</TotalTime>
  <Application>LibreOffice/6.3.2.2$Windows_x86 LibreOffice_project/98b30e735bda24bc04ab42594c85f7fd8be07b9c</Application>
  <Pages>5</Pages>
  <Words>1225</Words>
  <Characters>8659</Characters>
  <CharactersWithSpaces>10248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creator/>
  <dc:description/>
  <dc:language>ru-RU</dc:language>
  <cp:lastModifiedBy/>
  <cp:lastPrinted>2021-06-25T10:18:28Z</cp:lastPrinted>
  <dcterms:modified xsi:type="dcterms:W3CDTF">2021-06-29T08:18:47Z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